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BbgHintG (Brandenburg) — Anwendung des Justizverwaltungskostengesetzes, Gebührenverzeichnis</w:t>
      </w:r>
    </w:p>
    <w:p>
      <w:r>
        <w:rPr>
          <w:color w:val="555555"/>
          <w:sz w:val="18"/>
        </w:rPr>
        <w:t xml:space="preserve">Brandenburgisches Hinterlegungsgesetz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Hinterlegungssachen werden Kosten (Gebühren und Auslagen) nach dem Justizverwaltungskostengesetz erhoben. Nummer 2001 und der Hauptabschnitt 1 Abschnitt 4 des Kostenverzeichnisses zum Justizverwaltungskostengesetz finden keine Anwendung; Nummer 2000 Unternummer 2 und Nummer 2002 des Kostenverzeichnisses zum Justizverwaltungskostengesetz finden keine Anwendung, soweit die Überlassung oder Bereitstellung gerichtlicher Entscheidungen zur Veröffentlichung in Entscheidungssammlungen und Fachzeitschriften beantragt wird.</w:t>
      </w:r>
    </w:p>
    <w:p>
      <w:r>
        <w:t xml:space="preserve">(2) Ergänzend gelten die §§ 32 bis 34 und das anliegende Gebührenverzeichnis (Anlage).</w:t>
      </w:r>
    </w:p>
    <w:p>
      <w:r>
        <w:rPr>
          <w:color w:val="555555"/>
          <w:sz w:val="17"/>
        </w:rPr>
        <w:t xml:space="preserve">Zitiervorschlag: § 31 BbgHintG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https://recht.nulegal.eu/gesetze/BbgHintG/31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