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BbgHintG (Brandenburg) — Verfall der Hinterlegungsmasse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 dem Erlöschen des Anspruchs auf Herausgabe fällt die Hinterlegungsmasse dem Land zu.</w:t>
      </w:r>
    </w:p>
    <w:p>
      <w:r>
        <w:rPr>
          <w:color w:val="555555"/>
          <w:sz w:val="17"/>
        </w:rPr>
        <w:t xml:space="preserve">Zitiervorschlag: § 29 BbgHintG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