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BbgHintG (Brandenburg) — Herausgabeort, Haftung nach der Herausgabe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ist nicht verpflichtet, die Hinterlegungsmasse an einem anderen Ort als dem Sitz der Hinterlegungsstelle herauszugeben.</w:t>
      </w:r>
    </w:p>
    <w:p>
      <w:r>
        <w:t xml:space="preserve">(2) Nach der Herausgabe kann das Land nur aufgrund der Vorschriften über die Haftung für Amtspflichtverletzungen der Beamtinnen und Beamten in Anspruch genommen werden.</w:t>
      </w:r>
    </w:p>
    <w:p>
      <w:r>
        <w:rPr>
          <w:color w:val="555555"/>
          <w:sz w:val="17"/>
        </w:rPr>
        <w:t xml:space="preserve">Zitiervorschlag: § 25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