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BbgHintG (Brandenburg) — Herausgabeersuchen von Behörden</w:t>
      </w:r>
    </w:p>
    <w:p>
      <w:r>
        <w:rPr>
          <w:color w:val="555555"/>
          <w:sz w:val="18"/>
        </w:rPr>
        <w:t xml:space="preserve">Brandenburgisches Hinterlegungsgesetz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Wenn die zuständige Behörde um Herausgabe an sich selbst oder an eine von ihr bezeichnete Stelle oder Person ersucht, ist eine Herausgabeanordnung nach § 20 Absatz 1 zu erlassen. Geht das Ersuchen von einer obersten Bundes- oder Landesbehörde oder von einer ihr unmittelbar unterstellten höheren Bundes- oder Landesbehörde aus, ist deren Zuständigkeit von der Hinterlegungsstelle nicht zu prüfen. Das Gleiche gilt, wenn das Ersuchen von einem Gericht ausgeht.</w:t>
      </w:r>
    </w:p>
    <w:p>
      <w:r>
        <w:t xml:space="preserve">(2) Ergeben sich gegen die Berechtigung der Empfängerin oder des Empfängers Bedenken, die die ersuchende Behörde nicht berücksichtigt hat, ist ihr dies mitzuteilen; die Verfügung nach § 20 Absatz 1 ist auszusetzen. Hält die Behörde ihr Ersuchen gleichwohl aufrecht, ist diesem stattzugeben.</w:t>
      </w:r>
    </w:p>
    <w:p>
      <w:r>
        <w:rPr>
          <w:color w:val="555555"/>
          <w:sz w:val="17"/>
        </w:rPr>
        <w:t xml:space="preserve">Zitiervorschlag: § 23 BbgHintG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https://recht.nulegal.eu/gesetze/BbgHintG/23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