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BbgHintG (Brandenburg) — Herausgabeanordnung</w:t>
      </w:r>
    </w:p>
    <w:p>
      <w:r>
        <w:rPr>
          <w:color w:val="555555"/>
          <w:sz w:val="18"/>
        </w:rPr>
        <w:t xml:space="preserve">Brandenburgisches Hinterlegungsgesetz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Herausgabe bedarf einer Verfügung der Hinterlegungsstelle (Herausgabeanordnung).</w:t>
      </w:r>
    </w:p>
    <w:p>
      <w:r>
        <w:t xml:space="preserve">(2) Soll die Herausgabe einer Sache von der Zahlung der Kosten nach § 34 Absatz 3 Nummer 3 abhängig gemacht werden, ist die Herausgabeanordnung erst zu erlassen, wenn die Kosten eingezahlt sind.</w:t>
      </w:r>
    </w:p>
    <w:p>
      <w:r>
        <w:rPr>
          <w:color w:val="555555"/>
          <w:sz w:val="17"/>
        </w:rPr>
        <w:t xml:space="preserve">Zitiervorschlag: § 20 BbgHintG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https://recht.nulegal.eu/gesetze/BbgHintG/20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