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BbgHintG (Brandenburg) — Benachrichtigung der Staatsanwaltschaft</w:t>
      </w:r>
    </w:p>
    <w:p>
      <w:r>
        <w:rPr>
          <w:color w:val="555555"/>
          <w:sz w:val="18"/>
        </w:rPr>
        <w:t xml:space="preserve">Brandenburgisches Hinterlegungsgesetz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Wird eine Sicherheit nach den §§ 116 und 116a der Strafprozessordnung hinterlegt, ist unverzüglich die zuständige Staatsanwaltschaft zu benachrichtigen.</w:t>
      </w:r>
    </w:p>
    <w:p>
      <w:r>
        <w:rPr>
          <w:color w:val="555555"/>
          <w:sz w:val="17"/>
        </w:rPr>
        <w:t xml:space="preserve">Zitiervorschlag: § 18 BbgHintG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https://recht.nulegal.eu/gesetze/BbgHintG/18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