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BbgHintG (Brandenburg) — Benachrichtigung des Betreuungs- und Familiengerichts</w:t>
      </w:r>
    </w:p>
    <w:p>
      <w:r>
        <w:rPr>
          <w:color w:val="555555"/>
          <w:sz w:val="18"/>
        </w:rPr>
        <w:t xml:space="preserve">Brandenburgisches Hinterlegungsgesetz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Erfolgt die Hinterlegung im Rahmen eines Betreuungsverfahrens oder für eine minderjährige Person, benachrichtigt die Hinterlegungsstelle das jeweils zuständige Gericht. Die Hinterlegungsstelle benachrichtigt das Betreuungs- oder Familiengericht von einer Hinterlegung für eine betreute oder minderjährige Person, wenn diese nicht im Zusammenhang mit einem Rechtsstreit steht und nicht auf einer Anordnung des Betreuungs- oder Familiengerichts beruht.</w:t>
      </w:r>
    </w:p>
    <w:p>
      <w:r>
        <w:rPr>
          <w:color w:val="555555"/>
          <w:sz w:val="17"/>
        </w:rPr>
        <w:t xml:space="preserve">Zitiervorschlag: § 17 BbgHintG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https://recht.nulegal.eu/gesetze/BbgHintG/17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