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BbgHintG (Brandenburg) — Benachrichtigung der das Sparbuch ausstellenden Person</w:t>
      </w:r>
    </w:p>
    <w:p>
      <w:r>
        <w:rPr>
          <w:color w:val="555555"/>
          <w:sz w:val="18"/>
        </w:rPr>
        <w:t xml:space="preserve">Brandenburgisches Hinterlegungsgesetz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Von der Hinterlegung eines Sparbuchs benachrichtigt die Hinterlegungsstelle die das Sparbuch ausstellende Person.</w:t>
      </w:r>
    </w:p>
    <w:p>
      <w:r>
        <w:rPr>
          <w:color w:val="555555"/>
          <w:sz w:val="17"/>
        </w:rPr>
        <w:t xml:space="preserve">Zitiervorschlag: § 15 BbgHintG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https://recht.nulegal.eu/gesetze/BbgHintG/15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