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BbgHintG (Brandenburg) — Wertpapiere, Urkunden, Kostbarkeiten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Wertpapiere können als stückelose Wertpapiere hinterlegt oder während der Hinterlegung in stückelose Wertpapiere umgewandelt werden. Sonstige Urkunden und Kostbarkeiten werden unverändert aufbewahrt.</w:t>
      </w:r>
    </w:p>
    <w:p>
      <w:r>
        <w:t xml:space="preserve">(2) Die Hinterlegungsstelle kann durch Sachverständige den Wert von Kostbarkeiten schätzen oder ihre Beschaffenheit feststellen lassen. Die Kosten trägt die hinterlegende Person.</w:t>
      </w:r>
    </w:p>
    <w:p>
      <w:r>
        <w:rPr>
          <w:color w:val="555555"/>
          <w:sz w:val="17"/>
        </w:rPr>
        <w:t xml:space="preserve">Zitiervorschlag: § 12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