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BbgHintG (Brandenburg) — Zahlungsmittel</w:t>
      </w:r>
    </w:p>
    <w:p>
      <w:r>
        <w:rPr>
          <w:color w:val="555555"/>
          <w:sz w:val="18"/>
        </w:rPr>
        <w:t xml:space="preserve">Brandenburgisches Hinterlegungsgesetz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Gesetzliche oder gesetzlich zugelassene Zahlungsmittel gehen in das Eigentum des Landes über.</w:t>
      </w:r>
    </w:p>
    <w:p>
      <w:r>
        <w:t xml:space="preserve">(2) Andere Zahlungsmittel werden unverändert aufbewahrt. Sie können mit Zustimmung der Beteiligten in gesetzliche oder gesetzlich zugelassene Zahlungsmittel umgewechselt werden. Der Reinerlös geht in das Eigentum des Landes über.</w:t>
      </w:r>
    </w:p>
    <w:p>
      <w:r>
        <w:t xml:space="preserve">(3) Geld, das nach Absatz 1 in das Eigentum des Landes übergegangen ist, sowie Beträge, die aus der Einlösung von Wertpapieren, Zins- und Gewinnanteilsscheinen oder in ähnlicher Weise anfallen, werden nicht verzinst.</w:t>
      </w:r>
    </w:p>
    <w:p>
      <w:r>
        <w:rPr>
          <w:color w:val="555555"/>
          <w:sz w:val="17"/>
        </w:rPr>
        <w:t xml:space="preserve">Zitiervorschlag: § 11 BbgHintG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https://recht.nulegal.eu/gesetze/BbgHintG/11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