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BbgHintG (Brandenburg) — Verfahren nach Erlass der Annahmeanordnung</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Hinterlegungsstelle hat die hinterlegende Person von dem Erlass der Annahmeanordnung zu benachrichtigen, sofern nicht bereits eingezahlt oder eingeliefert ist. Zugleich ist die hinterlegende Person aufzufordern, die zu hinterlegenden Gegenstände innerhalb einer bestimmten Frist bei der zuständigen Hinterlegungskasse unter Vorlegung der Nachricht entgeltfrei einzuzahlen oder einzuliefern. Die Hinterlegungsstelle und das Aktenzeichen der Hinterlegungssache sind anzugeben. In die Aufforderung ist der Hinweis aufzunehmen, dass nach Fristablauf der Antrag als zurückgenommen behandelt wird. Die Hinterlegungskasse ist in der Nachricht mit ihrer Anschrift und im Fall einer Geldhinterlegung mit ihrer Bankverbindung anzugeben.</w:t>
      </w:r>
    </w:p>
    <w:p>
      <w:r>
        <w:t xml:space="preserve">(2) In der Annahmeanordnung ist die Hinterlegungskasse zu ersuchen, die Anordnung zurückzugeben, falls nicht innerhalb der Frist eingezahlt oder eingeliefert wird.</w:t>
      </w:r>
    </w:p>
    <w:p>
      <w:r>
        <w:rPr>
          <w:color w:val="555555"/>
          <w:sz w:val="17"/>
        </w:rPr>
        <w:t xml:space="preserve">Zitiervorschlag: § 10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