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BbgHZG (Brandenburg) — Auswahlverfahren für besondere Studiengänge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international ausgerichteten Studiengängen kann die Vorabquote nach § 4 Absatz 1 Nummer 3 die in § 4 Absatz 1 genannte Obergrenze überschreiten.</w:t>
      </w:r>
    </w:p>
    <w:p>
      <w:r>
        <w:t xml:space="preserve">(2) In Studiengängen, die eine Hochschule gemeinsam mit einer anderen Hochschule betreibt, kann vorgesehen werden, dass ein Teil der Studienplätze durch die andere Hochschule vergeben wird.</w:t>
      </w:r>
    </w:p>
    <w:p>
      <w:r>
        <w:t xml:space="preserve">(3) In künstlerischen Studiengängen mit einer Eignungsprüfung nach § 10 Absatz 4 Satz 2 oder Absatz 5 Satz 2 des Brandenburgischen Hochschulgesetzes kann die Hochschule die Auswahlentscheidung abweichend von § 5 Absatz 2 und den §§ 6 und 7 überwiegend oder ausschließlich nach dem Ergebnis der Eignungsprüfung treffen. Bei Ranggleichheit entscheidet das Los.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