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BbgHZG (Brandenburg) — Einschränkung eines Grundrechts</w:t>
      </w:r>
    </w:p>
    <w:p>
      <w:r>
        <w:rPr>
          <w:color w:val="555555"/>
          <w:sz w:val="18"/>
        </w:rPr>
        <w:t xml:space="preserve">Brandenburgisches Hochschulzulassungsgesetz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Durch die §§ 2 bis 9, 11 Absatz 5 und die §§ 12 bis 14 wird das Grundrecht der Berufsfreiheit (Artikel 49 Absatz 1 der Verfassung des Landes Brandenburg) eingeschränkt.</w:t>
      </w:r>
    </w:p>
    <w:p>
      <w:r>
        <w:rPr>
          <w:color w:val="555555"/>
          <w:sz w:val="17"/>
        </w:rPr>
        <w:t xml:space="preserve">Zitiervorschlag: § 18 BbgHZG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https://recht.nulegal.eu/gesetze/BbgHZG/18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