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BbgHZG (Brandenburg) — Verordnungsermächtigung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die Hochschulen zuständige Mitglied der Landesregierung wird ermächtigt, im Benehmen mit den Hochschulen durch Rechtsverordnung Einzelheiten des Bewerbungsverfahrens und des Vergabeverfahrens, der Verteilungs- und Auswahlkriterien sowie der Quoten für bestimmte Bewerbergruppen, insbesondere</w:t>
      </w:r>
    </w:p>
    <w:p>
      <w:r>
        <w:t xml:space="preserve">die Einzelheiten des Antragsverfahrens, die Form und Frist für die zu stellenden Anträge sowie die Form der Bekanntgabe der Verfahrensergebnisse,</w:t>
      </w:r>
    </w:p>
    <w:p>
      <w:r>
        <w:t xml:space="preserve">die Inanspruchnahme und Durchführung der Serviceleistungen der Stiftung für Hochschulzulassung nach Artikel 4 des Staatsvertrags über die Hochschulzulassung,</w:t>
      </w:r>
    </w:p>
    <w:p>
      <w:r>
        <w:t xml:space="preserve">Einzelheiten zu der Festsetzung der Quoten nach § 4 sowie im Einzelfall weitere Quoten und Abweichungen von der Obergrenze nach § 4 Absatz 1,</w:t>
      </w:r>
    </w:p>
    <w:p>
      <w:r>
        <w:t xml:space="preserve">die Reihenfolge der Berücksichtigung einzelner Quoten,</w:t>
      </w:r>
    </w:p>
    <w:p>
      <w:r>
        <w:t xml:space="preserve">Einzelheiten des Auswahlverfahrens für besondere Studiengänge nach § 9,</w:t>
      </w:r>
    </w:p>
    <w:p>
      <w:r>
        <w:t xml:space="preserve">Maßstäbe für die Umrechnung von Qualifikationen gemäß § 10,</w:t>
      </w:r>
    </w:p>
    <w:p>
      <w:r>
        <w:t xml:space="preserve">Einzelheiten der Wartezeitberechnung nach § 11,</w:t>
      </w:r>
    </w:p>
    <w:p>
      <w:r>
        <w:t xml:space="preserve">sowie Einzelheiten zu Art, Dauer und Umfang der gleichgestellten Dienste nach § 12</w:t>
      </w:r>
    </w:p>
    <w:p>
      <w:r>
        <w:t xml:space="preserve">zu regeln.</w:t>
      </w:r>
    </w:p>
    <w:p>
      <w:r>
        <w:t xml:space="preserve">(2) Die Rechtsverordnung kann auch bestimmen, dass die Hochschulen Einzelheiten des Bewerbungsverfahrens und des Vergabeverfahrens nach Maßgabe der Rechtsverordnung nach Absatz 1 durch Satzung regeln können.</w:t>
      </w:r>
    </w:p>
    <w:p>
      <w:r>
        <w:t xml:space="preserve">(3) Die Hochschulen können die Teilnahme an studienvorbereitenden Kursen, die nicht Bestandteil eines Hochschulstudiums sind, durch Satzung regeln.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