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BbgHZG (Brandenburg) — Anträge auf Zulassung außerhalb der Kapazität</w:t>
      </w:r>
    </w:p>
    <w:p>
      <w:r>
        <w:rPr>
          <w:color w:val="555555"/>
          <w:sz w:val="18"/>
        </w:rPr>
        <w:t xml:space="preserve">Brandenburgisches Hochschulzulassungsgesetz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 Antrag, mit dem ein Anspruch auf Zulassung außerhalb der festgesetzten Zulassungszahl geltend gemacht wird, kann nur gestellt werden, wenn in dem gleichen Vergabeverfahren auch ein Antrag auf Zulassung für den betreffenden Studiengang gestellt worden ist.</w:t>
      </w:r>
    </w:p>
    <w:p>
      <w:r>
        <w:t xml:space="preserve">(2) Sind Zulassungen außerhalb der festgesetzten Zulassungszahl auszusprechen, erfolgt die Vergabe nach dem Grad der Qualifikation gemäß § 10.</w:t>
      </w:r>
    </w:p>
    <w:p>
      <w:r>
        <w:t xml:space="preserve">Einzelnorm</w:t>
      </w:r>
    </w:p>
    <w:p>
      <w:r>
        <w:rPr>
          <w:color w:val="555555"/>
          <w:sz w:val="17"/>
        </w:rPr>
        <w:t xml:space="preserve">Zitiervorschlag: § 14 BbgHZG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https://recht.nulegal.eu/gesetze/BbgHZG/14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