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BbgHG (Brandenburg) — Verwaltungsrat</w:t>
      </w:r>
    </w:p>
    <w:p>
      <w:r>
        <w:rPr>
          <w:color w:val="555555"/>
          <w:sz w:val="18"/>
        </w:rPr>
        <w:t xml:space="preserve">Brandenburgisches Hochschulgesetz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Verwaltungsrat berät und entscheidet in Angelegenheiten des Studierendenwerks von grundsätzlicher Bedeutung, soweit durch dieses Gesetz oder die Satzung nichts anderes bestimmt ist. Ihm obliegen insbesondere</w:t>
      </w:r>
    </w:p>
    <w:p>
      <w:r>
        <w:t xml:space="preserve">die Aufstellung von Grundsätzen über die Tätigkeit des Studierendenwerks und die Entwicklung seiner Einrichtungen,</w:t>
      </w:r>
    </w:p>
    <w:p>
      <w:r>
        <w:t xml:space="preserve">der Erlass der Satzung und der Beitragsordnung sowie die Festsetzung der Beitragshöhe,</w:t>
      </w:r>
    </w:p>
    <w:p>
      <w:r>
        <w:t xml:space="preserve">der Erlass der Ordnungen über die Nutzung der vom Studierendenwerk betriebenen Einrichtungen,</w:t>
      </w:r>
    </w:p>
    <w:p>
      <w:r>
        <w:t xml:space="preserve">die Wahl der Geschäftsführung sowie deren Bestellung und Abberufung nach Zustimmung der für die Hochschulen zuständigen obersten Landesbehörde,</w:t>
      </w:r>
    </w:p>
    <w:p>
      <w:r>
        <w:t xml:space="preserve">die Beschlussfassung über den Wirtschaftsplanentwurf sowie die Kontrolle der Einhaltung des Wirtschaftsplanes,</w:t>
      </w:r>
    </w:p>
    <w:p>
      <w:r>
        <w:t xml:space="preserve">die Entgegennahme und Feststellung des Jahresabschlusses sowie die Entlastung der Geschäftsführung und</w:t>
      </w:r>
    </w:p>
    <w:p>
      <w:r>
        <w:t xml:space="preserve">die Zustimmung zum Erwerb, zur Veräußerung, zur Belastung von Grundstücken und Grundstücksrechten, zur Aufnahme von Darlehen und zur Übernahme von Bürgschaften, soweit es sich nicht um laufende Geschäfte handelt; im Anwendungsbereich der §§ 64 und 65 der Landeshaushaltsordnung bedarf es insoweit auch der Zustimmung der für die Hochschulen zuständigen obersten Landesbehörde.</w:t>
      </w:r>
    </w:p>
    <w:p>
      <w:r>
        <w:rPr>
          <w:color w:val="555555"/>
          <w:sz w:val="17"/>
        </w:rPr>
        <w:t xml:space="preserve">Zitiervorschlag: § 88 BbgHG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https://recht.nulegal.eu/gesetze/BbgHG/88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