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BbgHG (Brandenburg) — Organe des Fachbereichs</w:t>
      </w:r>
    </w:p>
    <w:p>
      <w:r>
        <w:rPr>
          <w:color w:val="555555"/>
          <w:sz w:val="18"/>
        </w:rPr>
        <w:t xml:space="preserve">Brandenburgisches Hochschulgesetz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Dekanin oder der Dekan leitet den Fachbereich. Die Dekanin oder der Dekan ist in Bezug auf die Erfüllung der Aufgaben dem aufsichtführenden Organ zur umfassenden Information und Auskunft verpflichtet.</w:t>
      </w:r>
    </w:p>
    <w:p>
      <w:r>
        <w:t xml:space="preserve">(2) Die Grundordnung sieht mindestens ein weiteres, nach Mitgliedergruppen zusammengesetztes Organ des Fachbereichs mit folgenden Aufgaben vor:</w:t>
      </w:r>
    </w:p>
    <w:p>
      <w:r>
        <w:t xml:space="preserve">Erlass von Satzungen des Fachbereichs,</w:t>
      </w:r>
    </w:p>
    <w:p>
      <w:r>
        <w:t xml:space="preserve">Entscheidungen über die Struktur- und Entwicklungsplanung des Fachbereichs,</w:t>
      </w:r>
    </w:p>
    <w:p>
      <w:r>
        <w:t xml:space="preserve">Vorschläge für die Leitung wissenschaftlicher Einrichtungen und Betriebseinheiten von Fachbereichseinrichtungen,</w:t>
      </w:r>
    </w:p>
    <w:p>
      <w:r>
        <w:t xml:space="preserve">Entscheidung über Berufungsvorschläge,</w:t>
      </w:r>
    </w:p>
    <w:p>
      <w:r>
        <w:t xml:space="preserve">Entscheidung über Habilitationen,</w:t>
      </w:r>
    </w:p>
    <w:p>
      <w:r>
        <w:t xml:space="preserve">Mitwirkung an der Evaluation und Koordination von Lehre und Forschung im Fachbereich,</w:t>
      </w:r>
    </w:p>
    <w:p>
      <w:r>
        <w:t xml:space="preserve">Aufsicht über die Dekanin oder den Dekan und</w:t>
      </w:r>
    </w:p>
    <w:p>
      <w:r>
        <w:t xml:space="preserve">Wahl und Abwahl der Dekanin oder des Dekans und ihrer oder seiner Vertretung.</w:t>
      </w:r>
    </w:p>
    <w:p>
      <w:r>
        <w:t xml:space="preserve">Die Aufgaben der Präsidentin oder des Präsidenten und der Dekanin oder des Dekans nach diesem Gesetz bleiben hiervon unberührt.</w:t>
      </w:r>
    </w:p>
    <w:p>
      <w:r>
        <w:t xml:space="preserve">(3) Die Grundordnung sieht eine Vertretung der Dekanin oder des Dekans vor. Sie kann bestimmen, dass zur Unterstützung der Dekanin oder des Dekans ein Dekanat gebildet wird.</w:t>
      </w:r>
    </w:p>
    <w:p>
      <w:r>
        <w:rPr>
          <w:color w:val="555555"/>
          <w:sz w:val="17"/>
        </w:rPr>
        <w:t xml:space="preserve">Zitiervorschlag: § 81 BbgHG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https://recht.nulegal.eu/gesetze/BbgHG/81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