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BbgHG (Brandenburg) — Gastprofessorinnen und Gastprofessoren und Gastdozentinnen und Gastdozenten</w:t>
      </w:r>
    </w:p>
    <w:p>
      <w:r>
        <w:rPr>
          <w:color w:val="555555"/>
          <w:sz w:val="18"/>
        </w:rPr>
        <w:t xml:space="preserve">Brandenburgisches Hochschulgesetz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Als Gastprofessorin oder Gastprofessor kann durch die Hochschulen in einem Angestelltenverhältnis oder in freier Mitarbeiterschaft für einen Zeitraum von höchstens drei Jahren beschäftigt werden, wer die Voraussetzungen des § 43 erfüllt. Eine weitere Verlängerung ist nicht zulässig. Eine erneute Einstellung ist nur in begründeten Ausnahmefällen nach mehrjähriger Unterbrechung zulässig. Die Sätze 1 bis 3 gelten entsprechend für Gastdozentinnen und Gastdozenten.</w:t>
      </w:r>
    </w:p>
    <w:p>
      <w:r>
        <w:rPr>
          <w:color w:val="555555"/>
          <w:sz w:val="17"/>
        </w:rPr>
        <w:t xml:space="preserve">Zitiervorschlag: § 57 BbgHG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https://recht.nulegal.eu/gesetze/BbgHG/57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