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BbgHG (Brandenburg) — Habilitation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Universitäten haben das Habilitationsrecht, die Filmuniversität für ihre überwiegend wissenschaftlichen Fächer nach Maßgabe der Verleihung durch das für die Hochschulen zuständige Mitglied der Landesregierung. § 32 Absatz 1 Satz 3 gilt entsprechend. Die Habilitation dient als Nachweis der Befähigung, ein wissenschaftliches Gebiet in Forschung und Lehre selbstständig zu vertreten.</w:t>
      </w:r>
    </w:p>
    <w:p>
      <w:r>
        <w:t xml:space="preserve">(2) Näheres regelt die Habilitationsordnung. Sie wird von dem nach der Grundordnung zuständigen Organ des Fachbereichs erlassen und bedarf der Genehmigung der Präsidentin oder des Präsidenten.</w:t>
      </w:r>
    </w:p>
    <w:p>
      <w:r>
        <w:t xml:space="preserve">(3) Die Habilitationsordnung ist vor dem Inkrafttreten der für die Hochschulen zuständigen obersten Landesbehörde anzuzeigen.</w:t>
      </w:r>
    </w:p>
    <w:p>
      <w:r>
        <w:t xml:space="preserve">(4) § 22 Absatz 6 findet Anwendung.</w:t>
      </w:r>
    </w:p>
    <w:p>
      <w:r>
        <w:rPr>
          <w:color w:val="555555"/>
          <w:sz w:val="17"/>
        </w:rPr>
        <w:t xml:space="preserve">Zitiervorschlag: § 34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