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BbgHG (Brandenburg) — Lehrangebot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Hochschule stellt das zur Einhaltung der Studienordnungen erforderliche Lehrangebot sicher. Dabei sollen Möglichkeiten von Fernstudien und der Digitalisierung genutzt werden.</w:t>
      </w:r>
    </w:p>
    <w:p>
      <w:r>
        <w:t xml:space="preserve">(2) Für Lehre, die mit Mitteln Dritter finanziert wird, gilt § 38.</w:t>
      </w:r>
    </w:p>
    <w:p>
      <w:r>
        <w:rPr>
          <w:color w:val="555555"/>
          <w:sz w:val="17"/>
        </w:rPr>
        <w:t xml:space="preserve">Zitiervorschlag: § 27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