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BbgHG (Brandenburg) — Geltungsbereich</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 staatlichen Hochschulen des Landes Brandenburg und, soweit dies in den §§ 92 bis 101 bestimmt ist, für die staatlich anerkannten Hochschulen und Berufsakademien sowie für die Studierendenwerke im Land Brandenburg.</w:t>
      </w:r>
    </w:p>
    <w:p>
      <w:r>
        <w:t xml:space="preserve">(2) Fachhochschulen, die ausschließlich Studiengänge für den öffentlichen Dienst anbieten, müssen die Anforderungen des § 92 Absatz 3 Satz 1 Nummer 1 Buchstabe a und d erfüllen. Im Übrigen findet dieses Gesetz auf sie keine Anwendung.</w:t>
      </w:r>
    </w:p>
    <w:p>
      <w:r>
        <w:rPr>
          <w:color w:val="555555"/>
          <w:sz w:val="17"/>
        </w:rPr>
        <w:t xml:space="preserve">Zitiervorschlag: § 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