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BbgHAV (Brandenburg) — Nachweispflicht</w:t>
      </w:r>
    </w:p>
    <w:p>
      <w:r>
        <w:rPr>
          <w:color w:val="555555"/>
          <w:sz w:val="18"/>
        </w:rPr>
        <w:t xml:space="preserve">Brandenburgische Hersteller- und Anwenderverordnung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Hersteller und Anwender haben vor der erstmaligen Durchführung der Arbeiten nach § 1 und danach für Tätigkeiten nach</w:t>
      </w:r>
    </w:p>
    <w:p>
      <w:r>
        <w:t xml:space="preserve">§ 1 Absatz 1 Nummer 1 bis 3, 5 und 6 in Abständen von höchstens drei Jahren,</w:t>
      </w:r>
    </w:p>
    <w:p>
      <w:r>
        <w:t xml:space="preserve">§ 1 Absatz 1 Nummer 4 in Abständen von höchstens fünf Jahren</w:t>
      </w:r>
    </w:p>
    <w:p>
      <w:r>
        <w:t xml:space="preserve">gegenüber einer nach § 24 Satz 1 Nummer 6 der Brandenburgischen Bauordnung anerkannten Prüfstelle nachzuweisen, dass sie über die vorgeschriebenen Fachkräfte und Vorrichtungen verfügen.</w:t>
      </w:r>
    </w:p>
    <w:p>
      <w:r>
        <w:rPr>
          <w:color w:val="555555"/>
          <w:sz w:val="17"/>
        </w:rPr>
        <w:t xml:space="preserve">Zitiervorschlag: § 2 BbgHAV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https://recht.nulegal.eu/gesetze/BbgHAV/2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