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BbgHöfeOG (Brandenburg) — Gesetzliche Hoferbenordnung</w:t>
      </w:r>
    </w:p>
    <w:p>
      <w:r>
        <w:rPr>
          <w:color w:val="555555"/>
          <w:sz w:val="18"/>
        </w:rPr>
        <w:t xml:space="preserve">Gesetz über die Höfeordnung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Wenn der Erblasser oder die Erblasserin keine Bestimmung trifft, sind als Hoferben kraft Gesetzes in folgender Ordnung berufen:</w:t>
      </w:r>
    </w:p>
    <w:p>
      <w:r>
        <w:t xml:space="preserve">die Kinder des Erblassers oder der Erblasserin und deren Abkömmlinge,</w:t>
      </w:r>
    </w:p>
    <w:p>
      <w:r>
        <w:t xml:space="preserve">die Ehegattin des Erblassers oder der Erblasserin oder der Ehegatte der Erblasserin oder des Erblassers,</w:t>
      </w:r>
    </w:p>
    <w:p>
      <w:r>
        <w:t xml:space="preserve">die Eltern des Erblassers oder der Erblasserin, wenn der Hof von ihnen oder aus ihren Familien stammt oder mit ihren Mitteln erworben worden ist,</w:t>
      </w:r>
    </w:p>
    <w:p>
      <w:r>
        <w:t xml:space="preserve">die Geschwister des Erblassers oder der Erblasserin und deren Abkömmlinge.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BbgHöfeOG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https://recht.nulegal.eu/gesetze/BbgH%C3%B6feOG/5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