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BbgHöfeOG (Brandenburg) — Inkrafttreten</w:t>
      </w:r>
    </w:p>
    <w:p>
      <w:r>
        <w:rPr>
          <w:color w:val="555555"/>
          <w:sz w:val="18"/>
        </w:rPr>
        <w:t xml:space="preserve">Gesetz über die Höfeordnung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Einzelnorm</w:t>
      </w:r>
    </w:p>
    <w:p>
      <w:r>
        <w:t xml:space="preserve">Potsdam, den 19. Juni 2019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Britta Stark</w:t>
      </w:r>
    </w:p>
    <w:p>
      <w:r>
        <w:rPr>
          <w:color w:val="555555"/>
          <w:sz w:val="17"/>
        </w:rPr>
        <w:t xml:space="preserve">Zitiervorschlag: § 34 BbgHöfeOG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https://recht.nulegal.eu/gesetze/BbgH%C3%B6feOG/34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