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BbgHöfeOG (Brandenburg) — Beschwerdeberechtigung</w:t>
      </w:r>
    </w:p>
    <w:p>
      <w:r>
        <w:rPr>
          <w:color w:val="555555"/>
          <w:sz w:val="18"/>
        </w:rPr>
        <w:t xml:space="preserve">Gesetz über die Höfeordnung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Genehmigt das Landwirtschaftsgericht eine Verfügung von Todes wegen, durch die so viele Grundstücke vom Hof abgetrennt werden, dass er nach den höferechtlichen Vorschriften seine Eigenschaft als Hof verliert, so ist von den Hoferbenberechtigten nur der nächstberufene hoferbenberechtigte Abkömmling beschwerdeberechtigt. Diesem steht derjenige Abkömmling gleich, der zulässigerweise durch Erbvertrag oder gemeinschaftliches Testament als Hoferbe oder Hoferbin bestimmt ist.</w:t>
      </w:r>
    </w:p>
    <w:p>
      <w:r>
        <w:t xml:space="preserve">Einzelnorm</w:t>
      </w:r>
    </w:p>
    <w:p>
      <w:r>
        <w:rPr>
          <w:color w:val="555555"/>
          <w:sz w:val="17"/>
        </w:rPr>
        <w:t xml:space="preserve">Zitiervorschlag: § 30 BbgHöfeOG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https://recht.nulegal.eu/gesetze/BbgH%C3%B6feOG/30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BbgHöfeOG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