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BbgHöfeOG (Brandenburg) — Abänderung der Entscheidung</w:t>
      </w:r>
    </w:p>
    <w:p>
      <w:r>
        <w:rPr>
          <w:color w:val="555555"/>
          <w:sz w:val="18"/>
        </w:rPr>
        <w:t xml:space="preserve">Gesetz über die Höfeordnung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im Feststellungsverfahren rechtskräftig entschieden worden, so können diejenigen, die sich am Verfahren beteiligt haben oder von dem Verfahren benachrichtigt worden sind (§ 27 Absatz 2 und 3), einen neuen Antrag nicht auf Tatsachen gründen, die in dem früheren Verfahren geltend gemacht worden sind oder von ihnen dort hätten geltend gemacht werden können.</w:t>
      </w:r>
    </w:p>
    <w:p>
      <w:r>
        <w:t xml:space="preserve">(2) Im Übrigen kann ein neuer Antrag nur gestellt werden, wenn ein berechtigter Grund für die nochmalige Nachprüfung vorliegt. In diesem Fall sind die an dem früheren Verfahren Beteiligten zuzuziehen und die in § 27 Absatz 2 genannten Personen zu benachrichtigen. Führt die Nachprüfung zu einer abweichenden Entscheidung, so ist in der ergehenden Entscheidung gleichzeitig der frühere Beschluss aufzuheben.</w:t>
      </w:r>
    </w:p>
    <w:p>
      <w:r>
        <w:t xml:space="preserve">(3) Nach Ablauf von fünf Jahren, vom Tag der Rechtskraft der Entscheidung an gerechnet, ist ein neuer Antrag auf Feststellung nur noch statthaft, wenn die bei der Entscheidung vorhanden gewesenen Voraussetzungen nachträglich weggefallen sind.</w:t>
      </w:r>
    </w:p>
    <w:p>
      <w:r>
        <w:t xml:space="preserve">Einzelnorm</w:t>
      </w:r>
    </w:p>
    <w:p>
      <w:r>
        <w:rPr>
          <w:color w:val="555555"/>
          <w:sz w:val="17"/>
        </w:rPr>
        <w:t xml:space="preserve">Zitiervorschlag: § 28 BbgHöfeOG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https://recht.nulegal.eu/gesetze/BbgH%C3%B6feOG/28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