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BbgHöfeOG (Brandenburg) — Erklärungen nach diesem Gesetz</w:t>
      </w:r>
    </w:p>
    <w:p>
      <w:r>
        <w:rPr>
          <w:color w:val="555555"/>
          <w:sz w:val="18"/>
        </w:rPr>
        <w:t xml:space="preserve">Gesetz über die Höfeordnung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in diesem Gesetz vorgesehenen Erklärungen, dass eine Besitzung Hof oder Ehegattenhof sein soll oder nicht sein soll oder, dass ein Hofvermerk eingetragen werden soll, sind gegenüber dem Landwirtschaftsgericht abzugeben.</w:t>
      </w:r>
    </w:p>
    <w:p>
      <w:r>
        <w:t xml:space="preserve">(2) Die Erklärung bedarf der öffentlichen Beglaubigung.</w:t>
      </w:r>
    </w:p>
    <w:p>
      <w:r>
        <w:t xml:space="preserve">(3) Die Erklärung kann, solange die erforderliche Eintragung oder Löschung nicht bewirkt ist, bis zum Tode des oder der Erklärenden widerrufen werden; § 1 Absatz 6 Satz 1 gilt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20 BbgHöfeOG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https://recht.nulegal.eu/gesetze/BbgH%C3%B6feOG/20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BbgHöfeOG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