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BbgHöfeOG (Brandenburg) — Übergabevertrag</w:t>
      </w:r>
    </w:p>
    <w:p>
      <w:r>
        <w:rPr>
          <w:color w:val="555555"/>
          <w:sz w:val="18"/>
        </w:rPr>
        <w:t xml:space="preserve">Gesetz über die Höfeordnung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Bei der Übergabe des Hofes an den Hoferben oder die Hoferbin im Wege der vorweggenommenen Hoferbfolge finden die Vorschriften des § 16 entsprechende Anwendung.</w:t>
      </w:r>
    </w:p>
    <w:p>
      <w:r>
        <w:t xml:space="preserve">(2) Übergibt der Eigentümer oder die Eigentümerin den Hof an einen hoferbenberechtigten Abkömmling, so gilt zugunsten der anderen Abkömmlinge der Erbfall hinsichtlich des Hofes mit dem Zeitpunkt der Übertragung als eingetreten.</w:t>
      </w:r>
    </w:p>
    <w:p>
      <w:r>
        <w:t xml:space="preserve">(3) Soweit nach den Vorschriften des Grundstücksverkehrsgesetzes eine Genehmigung erforderlich ist, wird sie durch das Gericht erteilt.</w:t>
      </w:r>
    </w:p>
    <w:p>
      <w:r>
        <w:t xml:space="preserve">(4) Für die Genehmigung eines Übergabevertrages gelten die Vorschriften der §§ 29 bis 31 sinngemäß.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17 BbgHöfeOG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https://recht.nulegal.eu/gesetze/BbgH%C3%B6feOG/17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