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BbgGlüAG (Brandenburg) — Einschränkung von Grundrechten</w:t>
      </w:r>
    </w:p>
    <w:p>
      <w:r>
        <w:rPr>
          <w:color w:val="555555"/>
          <w:sz w:val="18"/>
        </w:rPr>
        <w:t xml:space="preserve">Brandenburgisches Glücksspielausführungsgesetz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wird das Grundrecht der Berufsfreiheit (Artikel 49 Absatz 1 der Verfassung des Landes Brandenburg) eingeschränkt.</w:t>
      </w:r>
    </w:p>
    <w:p>
      <w:r>
        <w:rPr>
          <w:color w:val="555555"/>
          <w:sz w:val="17"/>
        </w:rPr>
        <w:t xml:space="preserve">Zitiervorschlag: § 15 BbgGlüAG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https://recht.nulegal.eu/gesetze/BbgGl%C3%BCAG/15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BbgGlüAG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