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BbgGewEV (Brandenburg) — Inkrafttreten</w:t>
      </w:r>
    </w:p>
    <w:p>
      <w:r>
        <w:rPr>
          <w:color w:val="555555"/>
          <w:sz w:val="18"/>
        </w:rPr>
        <w:t xml:space="preserve">Brandenburgische Gewässereinteilungsverordnung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Dezember 2008 in Kraft.</w:t>
      </w:r>
    </w:p>
    <w:p>
      <w:r>
        <w:t xml:space="preserve">Potsdam, den 1. Dezember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BbgGewEV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https://recht.nulegal.eu/gesetze/BbgGewEV/2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