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BbgGewEV (Brandenburg) — Gewässer I. Ordnung</w:t>
      </w:r>
    </w:p>
    <w:p>
      <w:r>
        <w:rPr>
          <w:color w:val="555555"/>
          <w:sz w:val="18"/>
        </w:rPr>
        <w:t xml:space="preserve">Brandenburgische Gewässereinteilungsverordnung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Gewässer I. Ordnung sind die in der Anlage zu dieser Verordnung genannten Gewässer. Die Anlage ist Bestandteil dieser Verordnung.</w:t>
      </w:r>
    </w:p>
    <w:p>
      <w:r>
        <w:rPr>
          <w:color w:val="555555"/>
          <w:sz w:val="17"/>
        </w:rPr>
        <w:t xml:space="preserve">Zitiervorschlag: § 1 BbgGewEV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https://recht.nulegal.eu/gesetze/BbgGewEV/1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