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BbgGerOrgG (Brandenburg) — Oberlandesgericht</w:t>
      </w:r>
    </w:p>
    <w:p>
      <w:r>
        <w:rPr>
          <w:color w:val="555555"/>
          <w:sz w:val="18"/>
        </w:rPr>
        <w:t xml:space="preserve">Brandenburgisches Gerichtsorganisationsgesetz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Oberlandesgericht hat seinen Sitz in Brandenburg an der Havel. Es führt die Bezeichnung „Brandenburgisches Oberlandesgericht“. Sein Bezirk umfasst das jeweilige Gebiet des gesamten Landes.</w:t>
      </w:r>
    </w:p>
    <w:p>
      <w:r>
        <w:rPr>
          <w:color w:val="555555"/>
          <w:sz w:val="17"/>
        </w:rPr>
        <w:t xml:space="preserve">Zitiervorschlag: § 5 BbgGerOrgG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https://recht.nulegal.eu/gesetze/BbgGerOrgG/5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