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BbgGerOrgG (Brandenburg) — Ehrenamtliche Richterinnen und Richter in Landwirtschaftssachen des Amtsgerichts Königs Wusterhausen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am 1. Januar 2013 bei dem Amtsgericht Königs Wusterhausen berufenen ehrenamtlichen Richterinnen und Richter in Landwirtschaftssachen (§ 1 des Gesetzes über gerichtliche Verfahren in Landwirtschaftssachen und § 65 des Landwirtschaftsanpassungsgesetzes), die im Bezirk dieses Gerichts die Landwirtschaft ausüben, werden für den Rest ihrer Amtszeit auch dem Amtsgericht Cottbus zugewiesen.</w:t>
      </w:r>
    </w:p>
    <w:p>
      <w:r>
        <w:t xml:space="preserve">(2) Die am 1. Januar 2013 bei dem Amtsgericht Königs Wusterhausen berufenen ehrenamtlichen Richterinnen und Richter in Landwirtschaftssachen (§ 1 des Gesetzes über gerichtliche Verfahren in Landwirtschaftssachen und § 65 des Landwirtschaftsanpassungsgesetzes), die nicht nach Absatz 1 dem Amtsgericht Cottbus zugewiesen sind, werden für den Rest ihrer Amtszeit auch dem Amtsgericht Rathenow zugewiesen.</w:t>
      </w:r>
    </w:p>
    <w:p>
      <w:r>
        <w:rPr>
          <w:color w:val="555555"/>
          <w:sz w:val="17"/>
        </w:rPr>
        <w:t xml:space="preserve">Zitiervorschlag: § 25 BbgGerOrgG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