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BbgGerOrgG (Brandenburg) — Ehrenamtliche Richterinnen und Richter in Landwirtschaftssachen des Amtsgerichts Frankfurt (Oder)</w:t>
      </w:r>
    </w:p>
    <w:p>
      <w:r>
        <w:rPr>
          <w:color w:val="555555"/>
          <w:sz w:val="18"/>
        </w:rPr>
        <w:t xml:space="preserve">Brandenburgisches Gerichtsorganisationsgesetz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am 1. Januar 2013 bei dem Amtsgericht Frankfurt (Oder) berufenen ehrenamtlichen Richterinnen und Richter in Landwirtschaftssachen (§ 1 des Gesetzes über gerichtliche Verfahren in Landwirtschaftssachen und § 65 des Landwirtschaftsanpassungsgesetzes), die im Bezirk des Amtsgerichts Schwedt/Oder die Landwirtschaft ausüben, werden für den Rest ihrer Amtszeit dem Amtsgericht Neuruppin zugewiesen.</w:t>
      </w:r>
    </w:p>
    <w:p>
      <w:r>
        <w:rPr>
          <w:color w:val="555555"/>
          <w:sz w:val="17"/>
        </w:rPr>
        <w:t xml:space="preserve">Zitiervorschlag: § 22 BbgGerOrgG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https://recht.nulegal.eu/gesetze/BbgGerOrgG/22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