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BbgGerOrgG (Brandenburg) — Verfahren des Amtsgerichts Guben</w:t>
      </w:r>
    </w:p>
    <w:p>
      <w:r>
        <w:rPr>
          <w:color w:val="555555"/>
          <w:sz w:val="18"/>
        </w:rPr>
        <w:t xml:space="preserve">Brandenburgisches Gerichtsorganisationsgesetz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Abweichend von § 13 Absatz 2 gehen die zur Zeit des Inkrafttretens dieses Gesetzes bei dem Amtsgericht Guben anhängigen Verfahren sämtlich auf das Amtsgericht Cottbus über. § 13 Absatz 3 bleibt unberührt.</w:t>
      </w:r>
    </w:p>
    <w:p>
      <w:r>
        <w:rPr>
          <w:color w:val="555555"/>
          <w:sz w:val="17"/>
        </w:rPr>
        <w:t xml:space="preserve">Zitiervorschlag: § 19 BbgGerOrgG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https://recht.nulegal.eu/gesetze/BbgGerOrgG/19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