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16 BbgGerOrgG (Brandenburg) — Kostenbefreiung</w:t>
      </w:r>
    </w:p>
    <w:p>
      <w:r>
        <w:rPr>
          <w:color w:val="555555"/>
          <w:sz w:val="18"/>
        </w:rPr>
        <w:t xml:space="preserve">Brandenburgisches Gerichtsorganisationsgesetz</w:t>
      </w:r>
    </w:p>
    <w:p>
      <w:r>
        <w:rPr>
          <w:color w:val="555555"/>
          <w:sz w:val="18"/>
        </w:rPr>
        <w:t xml:space="preserve">Landesrecht Brandenburg</w:t>
      </w:r>
    </w:p>
    <w:p>
      <w:r>
        <w:rPr>
          <w:color w:val="555555"/>
          <w:sz w:val="18"/>
        </w:rPr>
        <w:t xml:space="preserve">Stand: 30.07.2026 (konsolidierte Textfassung, kein amtliches Inkrafttretensdatum)</w:t>
      </w:r>
    </w:p>
    <w:p>
      <w:r>
        <w:t xml:space="preserve">Ändert sich die Zuständigkeit eines Gerichts durch die Aufhebung des bisher zuständigen Gerichts oder durch eine Änderung der Gerichtsbezirke oder der Zuordnung, so werden für die dadurch veranlassten gerichtlichen Handlungen Kosten nicht erhoben.</w:t>
      </w:r>
    </w:p>
    <w:p>
      <w:r>
        <w:rPr>
          <w:color w:val="555555"/>
          <w:sz w:val="17"/>
        </w:rPr>
        <w:t xml:space="preserve">Zitiervorschlag: § 16 BbgGerOrgG (Brandenburg)</w:t>
      </w:r>
    </w:p>
    <w:p>
      <w:r>
        <w:rPr>
          <w:color w:val="555555"/>
          <w:sz w:val="17"/>
        </w:rPr>
        <w:t xml:space="preserve">Quelle: BRAVORS, abgerufen 29.07.2026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https://recht.nulegal.eu/gesetze/BbgGerOrgG/16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