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BbgGastGZV (Brandenburg)</w:t>
      </w:r>
    </w:p>
    <w:p>
      <w:r>
        <w:rPr>
          <w:color w:val="555555"/>
          <w:sz w:val="18"/>
        </w:rPr>
        <w:t xml:space="preserve">Brandenburgische Gaststättengesetzzuständigkeitsverordnung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</w:t>
      </w:r>
    </w:p>
    <w:p>
      <w:r>
        <w:t xml:space="preserve">Verordnung tritt am Tage nach der Verkündung in Kraft.</w:t>
      </w:r>
    </w:p>
    <w:p>
      <w:r>
        <w:t xml:space="preserve">Potsdam, den</w:t>
      </w:r>
    </w:p>
    <w:p>
      <w:r>
        <w:t xml:space="preserve">7. Oktober 2008</w:t>
      </w:r>
    </w:p>
    <w:p>
      <w:r>
        <w:t xml:space="preserve">Der Minister für</w:t>
      </w:r>
    </w:p>
    <w:p>
      <w:r>
        <w:t xml:space="preserve">Wirtschaft</w:t>
      </w:r>
    </w:p>
    <w:p>
      <w:r>
        <w:t xml:space="preserve">Ulrich Junghanns</w:t>
      </w:r>
    </w:p>
    <w:p>
      <w:r>
        <w:rPr>
          <w:color w:val="555555"/>
          <w:sz w:val="17"/>
        </w:rPr>
        <w:t xml:space="preserve">Zitiervorschlag: § 2 BbgGastGZV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https://recht.nulegal.eu/gesetze/BbgGastGZV/2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