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BbgGastG (Brandenburg) — Auskunft und Nachschau</w:t>
      </w:r>
    </w:p>
    <w:p>
      <w:r>
        <w:rPr>
          <w:color w:val="555555"/>
          <w:sz w:val="18"/>
        </w:rPr>
        <w:t xml:space="preserve">Brandenburgisches Gaststättengesetz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Gewerbetreibende, die mit der Leitung des Betriebes beauftragten Personen und das im Betrieb beschäftigte Personal (Auskunftspflichtige) haben der zuständigen Behörde auf Verlangen die für die Überwachung des Gaststättengewerbes erforderlichen Auskünfte unentgeltlich zu erteilen.</w:t>
      </w:r>
    </w:p>
    <w:p>
      <w:r>
        <w:t xml:space="preserve">(2) Die von der zuständigen Behörde mit der Überwachung des Betriebes beauftragten Personen sind befugt, Grundstücke und Geschäftsräume der Auskunftspflichtigen zu betreten, dort Prüfungen und Besichtigungen vorzunehmen, sich die geschäftlichen Unterlagen vorlegen zu lassen und in diese Einsicht zu nehmen. Auskunftspflichtige haben die Maßnahmen nach Satz 1 zu dulden. Das Grundrecht der Unverletzlichkeit der Wohnung (Artikel 13 Abs. 1 des Grundgesetzes, Artikel 15 Abs. 1 der Verfassung des Landes Brandenburg) wird insoweit eingeschränkt.</w:t>
      </w:r>
    </w:p>
    <w:p>
      <w:r>
        <w:t xml:space="preserve">(3) Auskunftspflichtige können die Auskunft auf solche Fragen verweigern, deren Beantwortung sie selbst oder einen der in § 383 Abs. 1 Nr. 1 bis 3 der Zivilprozessordnung bezeichneten Angehörigen der Gefahr strafrechtlicher Verfolgung oder eines Verfahrens nach dem Gesetz über Ordnungswidrigkeiten aussetzen würde.</w:t>
      </w:r>
    </w:p>
    <w:p>
      <w:r>
        <w:rPr>
          <w:color w:val="555555"/>
          <w:sz w:val="17"/>
        </w:rPr>
        <w:t xml:space="preserve">Zitiervorschlag: § 9 BbgGastG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https://recht.nulegal.eu/gesetze/BbgGastG/9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