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BbgGastG (Brandenburg) — Ausschank alkoholfreier Getränke</w:t>
      </w:r>
    </w:p>
    <w:p>
      <w:r>
        <w:rPr>
          <w:color w:val="555555"/>
          <w:sz w:val="18"/>
        </w:rPr>
        <w:t xml:space="preserve">Brandenburgisches Gaststättengesetz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Beim Ausschank alkoholischer Getränke sind auf Verlangen auch alkoholfreie Getränke zum Verzehr an Ort und Stelle anzubieten. Davon ist mindestens ein alkoholfreies Getränk nicht teurer als das billigste alkoholische Getränk anzubieten. Der Preisvergleich erfolgt hierbei auch auf der Grundlage des hochgerechneten Preises für einen Liter der betreffenden Getränke. Die zuständige Behörde kann für den Ausschank aus Automaten Ausnahmen zulassen.</w:t>
      </w:r>
    </w:p>
    <w:p>
      <w:r>
        <w:rPr>
          <w:color w:val="555555"/>
          <w:sz w:val="17"/>
        </w:rPr>
        <w:t xml:space="preserve">Zitiervorschlag: § 4 BbgGastG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https://recht.nulegal.eu/gesetze/BbgGastG/4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