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BbgGastG (Brandenburg) — I nkrafttreten, Außerkrafttreten</w:t>
      </w:r>
    </w:p>
    <w:p>
      <w:r>
        <w:rPr>
          <w:color w:val="555555"/>
          <w:sz w:val="18"/>
        </w:rPr>
        <w:t xml:space="preserve">Brandenburgisches Gaststättengesetz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Dieses Gesetz tritt am Tage nach der Verkündung in Kraft. Gleichzeitig tritt die Gaststättenverordnung vom 30. Januar 1992 ( GVBl. II S. 60), geändert durch Verordnung vom 5. Dezember 1995 (GVBl. 1996 II S. 2), außer Kraft.</w:t>
      </w:r>
    </w:p>
    <w:p>
      <w:r>
        <w:t xml:space="preserve">Potsdam, den 2. Oktober 2008</w:t>
      </w:r>
    </w:p>
    <w:p>
      <w:r>
        <w:t xml:space="preserve">Der Präsident</w:t>
      </w:r>
    </w:p>
    <w:p>
      <w:r>
        <w:t xml:space="preserve">des Landtages Brandenburg</w:t>
      </w:r>
    </w:p>
    <w:p>
      <w:r>
        <w:t xml:space="preserve">Gunter Fritsch</w:t>
      </w:r>
    </w:p>
    <w:p>
      <w:r>
        <w:rPr>
          <w:color w:val="555555"/>
          <w:sz w:val="17"/>
        </w:rPr>
        <w:t xml:space="preserve">Zitiervorschlag: § 14 BbgGastG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https://recht.nulegal.eu/gesetze/BbgGastG/14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