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BbgGastG (Brandenburg) — Ersetzung von Bundesrecht</w:t>
      </w:r>
    </w:p>
    <w:p>
      <w:r>
        <w:rPr>
          <w:color w:val="555555"/>
          <w:sz w:val="18"/>
        </w:rPr>
        <w:t xml:space="preserve">Brandenburgisches Gaststättengesetz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Dieses Gesetz ersetzt im Land Brandenburg das Gaststättengesetz in der Fassung der Bekanntmachung vom 20. November 1998 (BGBl. I S. 3418), zuletzt geändert durch Artikel 10 des Gesetzes vom 7. September 2007 (BGBl. I S. 2246).</w:t>
      </w:r>
    </w:p>
    <w:p>
      <w:r>
        <w:rPr>
          <w:color w:val="555555"/>
          <w:sz w:val="17"/>
        </w:rPr>
        <w:t xml:space="preserve">Zitiervorschlag: § 13 BbgGastG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https://recht.nulegal.eu/gesetze/BbgGastG/13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