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BbgGastG (Brandenburg) — Ermächtigung</w:t>
      </w:r>
    </w:p>
    <w:p>
      <w:r>
        <w:rPr>
          <w:color w:val="555555"/>
          <w:sz w:val="18"/>
        </w:rPr>
        <w:t xml:space="preserve">Brandenburgisches Gaststättengesetz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Das für Wirtschaft zuständige Mitglied der Landesregierung wird ermächtigt, durch Rechtsverordnung die für die Ausführung dieses Gesetzes zuständigen Behörden zu bestimmen.</w:t>
      </w:r>
    </w:p>
    <w:p>
      <w:r>
        <w:rPr>
          <w:color w:val="555555"/>
          <w:sz w:val="17"/>
        </w:rPr>
        <w:t xml:space="preserve">Zitiervorschlag: § 11 BbgGastG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https://recht.nulegal.eu/gesetze/BbgGastG/11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