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BbgGVVergV (Brandenburg) — Prüfung</w:t>
      </w:r>
    </w:p>
    <w:p>
      <w:r>
        <w:rPr>
          <w:color w:val="555555"/>
          <w:sz w:val="18"/>
        </w:rPr>
        <w:t xml:space="preserve">Brandenburgische Gerichtsvollziehervergütungsverordnung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Vergütungsregelung wird bei wesentlichen Änderungen der für ihre Festsetzung maßgeblichen Umstände, spätestens nach einem Zeitraum von jeweils fünf Jahren, überprüft.</w:t>
      </w:r>
    </w:p>
    <w:p>
      <w:r>
        <w:rPr>
          <w:color w:val="555555"/>
          <w:sz w:val="17"/>
        </w:rPr>
        <w:t xml:space="preserve">Zitiervorschlag: § 9 BbgGVVergV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https://recht.nulegal.eu/gesetze/BbgGVVergV/9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