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BbgGVVergV (Brandenburg) — Übergangsvorschrift</w:t>
      </w:r>
    </w:p>
    <w:p>
      <w:r>
        <w:rPr>
          <w:color w:val="555555"/>
          <w:sz w:val="18"/>
        </w:rPr>
        <w:t xml:space="preserve">Brandenburgische Gerichtsvollziehervergütungsverordnung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Für die Abrechnung der Bürokostenentschädigung und der Vollstreckungsvergütung, die bis zum Inkrafttreten dieser Verordnung entstanden sind, sind die Verordnung zur Abgeltung der Bürokosten der Gerichtsvollzieher vom 27. Dezember 1999 ( GVBl. II S. 44), die zuletzt durch die Verordnung vom 21. Juli 2015 (GVBl. II Nr. 34) geändert worden ist, und die Vollstreckungsvergütungsverordnung in der Fassung der Bekanntmachung vom 6. Januar 2003 (BGBl. I S. 8) weiter anzuwenden. Der Gebührenanteil gemäß § 2 Absatz 1 Satz 2 Nummer 3 der Verordnung zur Abgeltung der Bürokosten der Gerichtsvollzieher und der Jahreshöchstbetrag gemäß § 3 Absatz 2 Satz 1 Nummer 3 der Verordnung zur Abgeltung der Bürokosten der Gerichtsvollzieher werden für die Zeit vom 1. Januar bis zum 31. Dezember 2016 endgültig festgesetzt.</w:t>
      </w:r>
    </w:p>
    <w:p>
      <w:r>
        <w:t xml:space="preserve">(2) Für die Abrechnung der Vergütung nach den §§ 1 und 2, die vor dem 1. Januar 2025 entstanden ist, ist § 1 Absatz 2 in der bis zum 31. Dezember 2024 geltenden Fassung anzuwenden.</w:t>
      </w:r>
    </w:p>
    <w:p>
      <w:r>
        <w:rPr>
          <w:color w:val="555555"/>
          <w:sz w:val="17"/>
        </w:rPr>
        <w:t xml:space="preserve">Zitiervorschlag: § 8 BbgGVVergV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https://recht.nulegal.eu/gesetze/BbgGVVergV/8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