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BbgGVVergV (Brandenburg) — Zuständigkeit</w:t>
      </w:r>
    </w:p>
    <w:p>
      <w:r>
        <w:rPr>
          <w:color w:val="555555"/>
          <w:sz w:val="18"/>
        </w:rPr>
        <w:t xml:space="preserve">Brandenburgische Gerichtsvollziehervergütungsverordnung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Über Anträge nach § 4 Absatz 1 und 3 sowie nach § 5 entscheidet die Präsidentin oder der Präsident des Brandenburgischen Oberlandesgerichts.</w:t>
      </w:r>
    </w:p>
    <w:p>
      <w:r>
        <w:rPr>
          <w:color w:val="555555"/>
          <w:sz w:val="17"/>
        </w:rPr>
        <w:t xml:space="preserve">Zitiervorschlag: § 6 BbgGVVergV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https://recht.nulegal.eu/gesetze/BbgGVVergV/6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