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BbgGStV (Brandenburg) — Trennwände, sonstige Innenwände und Tore</w:t>
      </w:r>
    </w:p>
    <w:p>
      <w:r>
        <w:rPr>
          <w:color w:val="555555"/>
          <w:sz w:val="18"/>
        </w:rPr>
        <w:t xml:space="preserve">Brandenburgische Garagen- und Stellplatzverordnung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Zwischen Garagen sowie zwischen Garagen und anders genutzten Räumen und Gebäuden müssen Trennwände als raumabschließende Bauteile vorhanden sein. Die Trennwände nach</w:t>
      </w:r>
    </w:p>
    <w:p>
      <w:r>
        <w:t xml:space="preserve">Satz 1 müssen in Mittel- und Großgaragen die Feuerwiderstandsfähigkeit der tragenden und aussteifenden Bauteile des Geschosses haben, jedoch mindestens feuerhemmend sein und aus nichtbrennbaren Baustoffen bestehen.</w:t>
      </w:r>
    </w:p>
    <w:p>
      <w:r>
        <w:t xml:space="preserve">(2) In Mittel- und Großgaragen müssen sonstige Innenwände, Abtrennungen und Tore zur räumlichen Abgrenzung von Stellplätzen und Abstellplätzen im Sinne des § 2 Absatz 8 Satz 1 aus nichtbrennbaren Baustoffen bestehen. Diese dürfen wirksame Löscharbeiten, die Lüftung nach § 16 sowie die Rauchableitung nach § 17 nicht beeinträchtigen.</w:t>
      </w:r>
    </w:p>
    <w:p>
      <w:r>
        <w:rPr>
          <w:color w:val="555555"/>
          <w:sz w:val="17"/>
        </w:rPr>
        <w:t xml:space="preserve">Zitiervorschlag: § 9 BbgGStV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https://recht.nulegal.eu/gesetze/BbgGStV/9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