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BbgGStV (Brandenburg) — Außenwände</w:t>
      </w:r>
    </w:p>
    <w:p>
      <w:r>
        <w:rPr>
          <w:color w:val="555555"/>
          <w:sz w:val="18"/>
        </w:rPr>
        <w:t xml:space="preserve">Brandenburgische Garagen- und Stellplatzverordnung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Außenwände und Außenwandteile von Garagen müssen den Anforderungen des § 28 der Brandenburgischen Bauordnung entsprechen. § 28 Absatz 5 der Brandenburgischen Bauordnung gilt entsprechend für Gebäude, die allein der Garagennutzung dienen und deren Fußboden des obersten Geschosses mit Stellplätzen im Mittel höchstens 7 Meter über der Geländeoberfläche liegt.</w:t>
      </w:r>
    </w:p>
    <w:p>
      <w:r>
        <w:t xml:space="preserve">(2) Liegen Garagengeschosse mit Stellplätzen mehr als 22 Meter über der Geländeoberfläche, müssen Oberflächen von Außenwänden sowie Außenwandbekleidungen einschließlich Dämmstoffen und Unterkonstruktionen nichtbrennbar sein.</w:t>
      </w:r>
    </w:p>
    <w:p>
      <w:r>
        <w:rPr>
          <w:color w:val="555555"/>
          <w:sz w:val="17"/>
        </w:rPr>
        <w:t xml:space="preserve">Zitiervorschlag: § 8 BbgGStV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https://recht.nulegal.eu/gesetze/BbgGStV/8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