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BbgGStV (Brandenburg) — Wände, Stützen, Decken, Dächer</w:t>
      </w:r>
    </w:p>
    <w:p>
      <w:r>
        <w:rPr>
          <w:color w:val="555555"/>
          <w:sz w:val="18"/>
        </w:rPr>
        <w:t xml:space="preserve">Brandenburgische Garagen- und Stellplatzverordnung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Tragende und aussteifende Wände und Stützen müssen feuerbeständig sein.</w:t>
      </w:r>
    </w:p>
    <w:p>
      <w:r>
        <w:t xml:space="preserve">(2) Decken müssen als tragende und raumabschließende Bauteile über, unter und zwischen Geschossen feuerbeständig sein; Öffnungen in Decken für Rampen sind zulässig, soweit sich aus</w:t>
      </w:r>
    </w:p>
    <w:p>
      <w:r>
        <w:t xml:space="preserve">§ 12 keine weiterführenden Anforderungen ergeben.</w:t>
      </w:r>
    </w:p>
    <w:p>
      <w:r>
        <w:t xml:space="preserve">(3) Liegen Stellplätze nicht mehr als 22 Meter über der Geländeoberfläche, so brauchen Wände, Stützen und Decken nach den Absätzen 1 und 2</w:t>
      </w:r>
    </w:p>
    <w:p>
      <w:r>
        <w:t xml:space="preserve">bei oberirdischen Mittel- und Großgaragen nur feuerhemmend und aus nichtbrennbaren Baustoffen zu sein, soweit sich aus den §§ 27 und 31 der Brandenburgischen Bauordnung keine weitergehenden Anforderungen ergeben,</w:t>
      </w:r>
    </w:p>
    <w:p>
      <w:r>
        <w:t xml:space="preserve">bei offenen oberirdischen Mittel- und Großgaragen in Gebäuden, die allein der Garagennutzung dienen, nur aus nichtbrennbaren Baustoffen bestehen, sofern</w:t>
      </w:r>
    </w:p>
    <w:p>
      <w:r>
        <w:t xml:space="preserve">diese eine maximale Tiefe von 70 Metern aufweisen sowie das Tragwerk den Anforderungen der Technischen Baubestimmungen nach § 86a der Brandenburgischen Bauordnung an eine robuste Tragkonstruktion entspricht oder</w:t>
      </w:r>
    </w:p>
    <w:p>
      <w:r>
        <w:t xml:space="preserve">die Stellplätze unmittelbar an den Außenwänden angeordnet sind.</w:t>
      </w:r>
    </w:p>
    <w:p>
      <w:r>
        <w:t xml:space="preserve">Decken nach Satz 1 Nummer 2 dürfen zur Vorbeugung der Brandausbreitung keine offenen Fugen aufweisen; Leitungsdurchführungen sind analog zu Nummer 4.2 Buchstabe a und b der Muster-Leitungsanlagenrichtlinie auszuführen.</w:t>
      </w:r>
    </w:p>
    <w:p>
      <w:r>
        <w:t xml:space="preserve">(4) Wände, Stützen und Decken nach den Absätzen 1 und 2 brauchen bei eingeschossigen oberirdischen Mittel- und Großgaragen auch mit Stellplätzen auf Dächern, wenn das Gebäude allein der Garagennutzung dient, nur feuerhemmend zu sein oder aus nichtbrennbaren Baustoffen zu bestehen.</w:t>
      </w:r>
    </w:p>
    <w:p>
      <w:r>
        <w:t xml:space="preserve">(5) Wände, Stützen und Decken nach den Absätzen 1 und 2 brauchen bei automatischen Garagen nur aus nichtbrennbaren Baustoffen zu bestehen, wenn das Gebäude allein als automatische Garage genutzt wird.</w:t>
      </w:r>
    </w:p>
    <w:p>
      <w:r>
        <w:t xml:space="preserve">(6) Für befahrbare Dächer von Garagen gelten die Anforderungen an Decken.</w:t>
      </w:r>
    </w:p>
    <w:p>
      <w:r>
        <w:t xml:space="preserve">(7) Bekleidungen und Dämmschichten an Wänden, Stützen sowie unter Decken und Dächern müssen</w:t>
      </w:r>
    </w:p>
    <w:p>
      <w:r>
        <w:t xml:space="preserve">bei Großgaragen aus nichtbrennbaren,</w:t>
      </w:r>
    </w:p>
    <w:p>
      <w:r>
        <w:t xml:space="preserve">bei Mittelgaragen aus mindestens schwerentflammbaren</w:t>
      </w:r>
    </w:p>
    <w:p>
      <w:r>
        <w:t xml:space="preserve">Baustoffen bestehen.</w:t>
      </w:r>
    </w:p>
    <w:p>
      <w:r>
        <w:rPr>
          <w:color w:val="555555"/>
          <w:sz w:val="17"/>
        </w:rPr>
        <w:t xml:space="preserve">Zitiervorschlag: § 7 BbgGStV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https://recht.nulegal.eu/gesetze/BbgGStV/7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