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BbgGStV (Brandenburg) — Ordnungswidrigkeiten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nach § 85 Absatz 1 Nummer 1 der Brandenburgischen Bauordnung handelt, wer vorsätzlich oder fahrlässig</w:t>
      </w:r>
    </w:p>
    <w:p>
      <w:r>
        <w:t xml:space="preserve">entgegen § 15 Absatz 1 in geschlossenen Mittel- und Großgaragen keine erforderliche Beleuchtung vorhält,</w:t>
      </w:r>
    </w:p>
    <w:p>
      <w:r>
        <w:t xml:space="preserve">entgegen § 16 Absatz 4 maschinelle Abluftanlagen so betreibt, dass der genannte Wert des Kohlenstoffmonoxid-Gehaltes der Luft überschritten wird,</w:t>
      </w:r>
    </w:p>
    <w:p>
      <w:r>
        <w:t xml:space="preserve">entgegen § 21 Absatz 2 brennbare Stoffe in Garagen aufbewahrt oder</w:t>
      </w:r>
    </w:p>
    <w:p>
      <w:r>
        <w:t xml:space="preserve">entgegen § 21 Absatz 5 die Rettungswege und die Zu- und Abfahrten nicht verkehrssicher und frei hält.</w:t>
      </w:r>
    </w:p>
    <w:p>
      <w:r>
        <w:rPr>
          <w:color w:val="555555"/>
          <w:sz w:val="17"/>
        </w:rPr>
        <w:t xml:space="preserve">Zitiervorschlag: § 24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