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BbgGStV (Brandenburg) — Weitergehende Anforderungen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Weitergehende Anforderungen als nach dieser Verordnung können zur Erfüllung der Schutzziele gemäß § 3 der Brandenburgischen Bauordnung gestellt werden, wenn</w:t>
      </w:r>
    </w:p>
    <w:p>
      <w:r>
        <w:t xml:space="preserve">Stellplatzanlagen oder Stellplätze für Kraftfahrzeuge bestimmt sind, deren Länge mehr als 5 Meter und deren Breite mehr als 2 Meter beträgt oder</w:t>
      </w:r>
    </w:p>
    <w:p>
      <w:r>
        <w:t xml:space="preserve">Garagen in Geschossen liegen, deren Fußboden mehr als 22 Meter über der Geländeoberfläche liegen.</w:t>
      </w:r>
    </w:p>
    <w:p>
      <w:r>
        <w:t xml:space="preserve">In Mittel- und Großgaragen kann eine Brandmeldeanlage mit akustischer Alarmierung der Nutzer in der Garage verlangt werden, wenn aufgrund ihrer speziellen Nutzung mit längeren Aufenthaltszeiten der Personen zu rechnen ist.</w:t>
      </w:r>
    </w:p>
    <w:p>
      <w:r>
        <w:rPr>
          <w:color w:val="555555"/>
          <w:sz w:val="17"/>
        </w:rPr>
        <w:t xml:space="preserve">Zitiervorschlag: § 23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